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640"/>
        <w:jc w:val="left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Arial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2024年新设立自治区级专业技术人员</w:t>
      </w:r>
      <w:bookmarkEnd w:id="0"/>
    </w:p>
    <w:tbl>
      <w:tblPr>
        <w:tblW w:w="897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9"/>
        <w:gridCol w:w="7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新疆师范高等专科学校（新疆教育学院）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新疆警察学院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新疆银穗教育培训有限公司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乌鲁木齐城市轨道集团有限公司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新疆交通投资（集团）有限责任公司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乌鲁木齐市实用技术培训学校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乌鲁木齐职业大学继续教育学院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伊犁职业技术学院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阿勒泰开放大学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新疆第二医学院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哈密市伊吾县广汇能源职业技能培训学校有限公司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76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bdr w:val="none" w:color="auto" w:sz="0" w:space="0"/>
              </w:rPr>
              <w:t>巴州人社局干部培训中心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0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9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喀什职业技术学院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5E1A276C"/>
    <w:rsid w:val="5E1A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2024-04-06T07:43:00Z</dcterms:created>
  <dc:creator>Whiterunan</dc:creator>
  <cp:lastModifiedBy>Whiterunan</cp:lastModifiedBy>
  <dcterms:modified xsi:type="dcterms:W3CDTF">2024-04-06T07:44:06Z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E12B95F1C5F04FC7A917A2B604F5549C_11</vt:lpwstr>
  </property>
</Properties>
</file>